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910"/>
        <w:tblW w:w="0" w:type="auto"/>
        <w:tblLook w:val="04A0" w:firstRow="1" w:lastRow="0" w:firstColumn="1" w:lastColumn="0" w:noHBand="0" w:noVBand="1"/>
      </w:tblPr>
      <w:tblGrid>
        <w:gridCol w:w="1884"/>
        <w:gridCol w:w="1996"/>
        <w:gridCol w:w="2045"/>
        <w:gridCol w:w="2001"/>
        <w:gridCol w:w="1971"/>
        <w:gridCol w:w="2015"/>
        <w:gridCol w:w="2036"/>
      </w:tblGrid>
      <w:tr w:rsidR="0094724E" w14:paraId="4C1E80F8" w14:textId="77777777" w:rsidTr="0094724E">
        <w:tc>
          <w:tcPr>
            <w:tcW w:w="1884" w:type="dxa"/>
            <w:vMerge w:val="restart"/>
          </w:tcPr>
          <w:p w14:paraId="6C4D2AFA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  <w:r w:rsidRPr="0094724E">
              <w:rPr>
                <w:rFonts w:ascii="Comic Sans MS" w:hAnsi="Comic Sans MS"/>
                <w:b/>
              </w:rPr>
              <w:t>Year group</w:t>
            </w:r>
          </w:p>
        </w:tc>
        <w:tc>
          <w:tcPr>
            <w:tcW w:w="12064" w:type="dxa"/>
            <w:gridSpan w:val="6"/>
          </w:tcPr>
          <w:p w14:paraId="67769AD3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  <w:r w:rsidRPr="0094724E">
              <w:rPr>
                <w:rFonts w:ascii="Comic Sans MS" w:hAnsi="Comic Sans MS"/>
                <w:b/>
              </w:rPr>
              <w:t>Half-term</w:t>
            </w:r>
          </w:p>
        </w:tc>
      </w:tr>
      <w:tr w:rsidR="0094724E" w14:paraId="4BB15904" w14:textId="77777777" w:rsidTr="0094724E">
        <w:tc>
          <w:tcPr>
            <w:tcW w:w="1884" w:type="dxa"/>
            <w:vMerge/>
          </w:tcPr>
          <w:p w14:paraId="49468EA6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996" w:type="dxa"/>
          </w:tcPr>
          <w:p w14:paraId="32DB4701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highlight w:val="magenta"/>
              </w:rPr>
            </w:pPr>
            <w:proofErr w:type="spellStart"/>
            <w:r w:rsidRPr="0094724E">
              <w:rPr>
                <w:rFonts w:ascii="Comic Sans MS" w:hAnsi="Comic Sans MS"/>
                <w:b/>
                <w:highlight w:val="magenta"/>
              </w:rPr>
              <w:t>Aut</w:t>
            </w:r>
            <w:proofErr w:type="spellEnd"/>
            <w:r w:rsidRPr="0094724E">
              <w:rPr>
                <w:rFonts w:ascii="Comic Sans MS" w:hAnsi="Comic Sans MS"/>
                <w:b/>
                <w:highlight w:val="magenta"/>
              </w:rPr>
              <w:t xml:space="preserve"> 1</w:t>
            </w:r>
          </w:p>
        </w:tc>
        <w:tc>
          <w:tcPr>
            <w:tcW w:w="2045" w:type="dxa"/>
          </w:tcPr>
          <w:p w14:paraId="213FBCE5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highlight w:val="magenta"/>
              </w:rPr>
            </w:pPr>
            <w:proofErr w:type="spellStart"/>
            <w:r w:rsidRPr="0094724E">
              <w:rPr>
                <w:rFonts w:ascii="Comic Sans MS" w:hAnsi="Comic Sans MS"/>
                <w:b/>
                <w:highlight w:val="magenta"/>
              </w:rPr>
              <w:t>Aut</w:t>
            </w:r>
            <w:proofErr w:type="spellEnd"/>
            <w:r w:rsidRPr="0094724E">
              <w:rPr>
                <w:rFonts w:ascii="Comic Sans MS" w:hAnsi="Comic Sans MS"/>
                <w:b/>
                <w:highlight w:val="magenta"/>
              </w:rPr>
              <w:t xml:space="preserve"> 2</w:t>
            </w:r>
          </w:p>
        </w:tc>
        <w:tc>
          <w:tcPr>
            <w:tcW w:w="2001" w:type="dxa"/>
          </w:tcPr>
          <w:p w14:paraId="253E5444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highlight w:val="yellow"/>
              </w:rPr>
            </w:pPr>
            <w:proofErr w:type="spellStart"/>
            <w:r w:rsidRPr="0094724E">
              <w:rPr>
                <w:rFonts w:ascii="Comic Sans MS" w:hAnsi="Comic Sans MS"/>
                <w:b/>
                <w:highlight w:val="yellow"/>
              </w:rPr>
              <w:t>Spr</w:t>
            </w:r>
            <w:proofErr w:type="spellEnd"/>
            <w:r w:rsidRPr="0094724E">
              <w:rPr>
                <w:rFonts w:ascii="Comic Sans MS" w:hAnsi="Comic Sans MS"/>
                <w:b/>
                <w:highlight w:val="yellow"/>
              </w:rPr>
              <w:t xml:space="preserve"> 1</w:t>
            </w:r>
          </w:p>
        </w:tc>
        <w:tc>
          <w:tcPr>
            <w:tcW w:w="1971" w:type="dxa"/>
          </w:tcPr>
          <w:p w14:paraId="63337B95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highlight w:val="yellow"/>
              </w:rPr>
            </w:pPr>
            <w:proofErr w:type="spellStart"/>
            <w:r w:rsidRPr="0094724E">
              <w:rPr>
                <w:rFonts w:ascii="Comic Sans MS" w:hAnsi="Comic Sans MS"/>
                <w:b/>
                <w:highlight w:val="yellow"/>
              </w:rPr>
              <w:t>Spr</w:t>
            </w:r>
            <w:proofErr w:type="spellEnd"/>
            <w:r w:rsidRPr="0094724E">
              <w:rPr>
                <w:rFonts w:ascii="Comic Sans MS" w:hAnsi="Comic Sans MS"/>
                <w:b/>
                <w:highlight w:val="yellow"/>
              </w:rPr>
              <w:t xml:space="preserve"> 2</w:t>
            </w:r>
          </w:p>
        </w:tc>
        <w:tc>
          <w:tcPr>
            <w:tcW w:w="2015" w:type="dxa"/>
          </w:tcPr>
          <w:p w14:paraId="4918FCE3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highlight w:val="green"/>
              </w:rPr>
            </w:pPr>
            <w:r w:rsidRPr="0094724E">
              <w:rPr>
                <w:rFonts w:ascii="Comic Sans MS" w:hAnsi="Comic Sans MS"/>
                <w:b/>
                <w:highlight w:val="green"/>
              </w:rPr>
              <w:t>Sum 1</w:t>
            </w:r>
          </w:p>
        </w:tc>
        <w:tc>
          <w:tcPr>
            <w:tcW w:w="2036" w:type="dxa"/>
          </w:tcPr>
          <w:p w14:paraId="5EAA70AC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highlight w:val="green"/>
              </w:rPr>
            </w:pPr>
            <w:r w:rsidRPr="0094724E">
              <w:rPr>
                <w:rFonts w:ascii="Comic Sans MS" w:hAnsi="Comic Sans MS"/>
                <w:b/>
                <w:highlight w:val="green"/>
              </w:rPr>
              <w:t>Sum 2</w:t>
            </w:r>
          </w:p>
        </w:tc>
      </w:tr>
      <w:tr w:rsidR="0094724E" w14:paraId="70ADB413" w14:textId="77777777" w:rsidTr="0094724E">
        <w:tc>
          <w:tcPr>
            <w:tcW w:w="1884" w:type="dxa"/>
          </w:tcPr>
          <w:p w14:paraId="6DB0C2D2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  <w:r w:rsidRPr="0094724E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1996" w:type="dxa"/>
          </w:tcPr>
          <w:p w14:paraId="0E57F82A" w14:textId="77777777" w:rsidR="0094724E" w:rsidRDefault="0094724E" w:rsidP="0094724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4724E">
              <w:rPr>
                <w:rFonts w:ascii="Comic Sans MS" w:hAnsi="Comic Sans MS"/>
                <w:b/>
                <w:sz w:val="20"/>
                <w:szCs w:val="20"/>
                <w:u w:val="single"/>
              </w:rPr>
              <w:t>Families and Ourselves</w:t>
            </w:r>
          </w:p>
          <w:p w14:paraId="312EE05C" w14:textId="701C7240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45" w:type="dxa"/>
          </w:tcPr>
          <w:p w14:paraId="6E61FCD1" w14:textId="23264D61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 w:cstheme="majorHAnsi"/>
                <w:b/>
                <w:sz w:val="20"/>
                <w:szCs w:val="20"/>
                <w:u w:val="single"/>
              </w:rPr>
              <w:t>Light and Dark</w:t>
            </w:r>
          </w:p>
        </w:tc>
        <w:tc>
          <w:tcPr>
            <w:tcW w:w="2001" w:type="dxa"/>
          </w:tcPr>
          <w:p w14:paraId="402CBE22" w14:textId="436CA26E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  <w:t>Food</w:t>
            </w:r>
          </w:p>
        </w:tc>
        <w:tc>
          <w:tcPr>
            <w:tcW w:w="1971" w:type="dxa"/>
          </w:tcPr>
          <w:p w14:paraId="0F8700E3" w14:textId="71EFF532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  <w:t>Science Week</w:t>
            </w:r>
          </w:p>
        </w:tc>
        <w:tc>
          <w:tcPr>
            <w:tcW w:w="2015" w:type="dxa"/>
          </w:tcPr>
          <w:p w14:paraId="4939B278" w14:textId="656EEAE9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  <w:t>Animals, habitats and life cycles</w:t>
            </w:r>
          </w:p>
        </w:tc>
        <w:tc>
          <w:tcPr>
            <w:tcW w:w="2036" w:type="dxa"/>
          </w:tcPr>
          <w:p w14:paraId="458093AA" w14:textId="5557A814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  <w:t>Animals, habitats and life cycles</w:t>
            </w:r>
          </w:p>
        </w:tc>
      </w:tr>
      <w:tr w:rsidR="0094724E" w14:paraId="6BC5B4DA" w14:textId="77777777" w:rsidTr="0094724E">
        <w:tc>
          <w:tcPr>
            <w:tcW w:w="1884" w:type="dxa"/>
          </w:tcPr>
          <w:p w14:paraId="52E23C81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  <w:r w:rsidRPr="0094724E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996" w:type="dxa"/>
          </w:tcPr>
          <w:p w14:paraId="4C380797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Seasonal changes</w:t>
            </w:r>
          </w:p>
          <w:p w14:paraId="1C8806D2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45" w:type="dxa"/>
          </w:tcPr>
          <w:p w14:paraId="297A6D66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Animals, including humans – all about me</w:t>
            </w:r>
          </w:p>
        </w:tc>
        <w:tc>
          <w:tcPr>
            <w:tcW w:w="2001" w:type="dxa"/>
          </w:tcPr>
          <w:p w14:paraId="58C3A3FE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Exploring everyday materials 1</w:t>
            </w:r>
          </w:p>
        </w:tc>
        <w:tc>
          <w:tcPr>
            <w:tcW w:w="1971" w:type="dxa"/>
          </w:tcPr>
          <w:p w14:paraId="64771B1E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Exploring everyday materials 2</w:t>
            </w:r>
          </w:p>
        </w:tc>
        <w:tc>
          <w:tcPr>
            <w:tcW w:w="2015" w:type="dxa"/>
          </w:tcPr>
          <w:p w14:paraId="4858318E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Plants</w:t>
            </w:r>
          </w:p>
        </w:tc>
        <w:tc>
          <w:tcPr>
            <w:tcW w:w="2036" w:type="dxa"/>
          </w:tcPr>
          <w:p w14:paraId="7D6D78F1" w14:textId="34850C1D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Animals, including humans – all about animals</w:t>
            </w:r>
          </w:p>
        </w:tc>
      </w:tr>
      <w:tr w:rsidR="0094724E" w14:paraId="03A99033" w14:textId="77777777" w:rsidTr="0094724E">
        <w:tc>
          <w:tcPr>
            <w:tcW w:w="1884" w:type="dxa"/>
          </w:tcPr>
          <w:p w14:paraId="1AB8006A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  <w:r w:rsidRPr="0094724E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996" w:type="dxa"/>
          </w:tcPr>
          <w:p w14:paraId="1FF4A7AB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Animals, including humans – lifecycles</w:t>
            </w:r>
          </w:p>
        </w:tc>
        <w:tc>
          <w:tcPr>
            <w:tcW w:w="2045" w:type="dxa"/>
          </w:tcPr>
          <w:p w14:paraId="07D117B4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Plants</w:t>
            </w:r>
          </w:p>
        </w:tc>
        <w:tc>
          <w:tcPr>
            <w:tcW w:w="2001" w:type="dxa"/>
          </w:tcPr>
          <w:p w14:paraId="7B86F9ED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Uses of everyday materials</w:t>
            </w:r>
          </w:p>
          <w:p w14:paraId="042EF961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1971" w:type="dxa"/>
          </w:tcPr>
          <w:p w14:paraId="1921B085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Living things and their habitats</w:t>
            </w:r>
          </w:p>
        </w:tc>
        <w:tc>
          <w:tcPr>
            <w:tcW w:w="2015" w:type="dxa"/>
          </w:tcPr>
          <w:p w14:paraId="3C7D8D39" w14:textId="77777777" w:rsid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Living things and their habitats – habitats around the world</w:t>
            </w:r>
          </w:p>
          <w:p w14:paraId="379F924F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36" w:type="dxa"/>
          </w:tcPr>
          <w:p w14:paraId="7FBCA8ED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Animals, including humans – growth</w:t>
            </w:r>
          </w:p>
        </w:tc>
      </w:tr>
      <w:tr w:rsidR="0094724E" w14:paraId="28612AA2" w14:textId="77777777" w:rsidTr="0094724E">
        <w:tc>
          <w:tcPr>
            <w:tcW w:w="1884" w:type="dxa"/>
          </w:tcPr>
          <w:p w14:paraId="1B0DB0FF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  <w:r w:rsidRPr="0094724E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996" w:type="dxa"/>
          </w:tcPr>
          <w:p w14:paraId="774BF083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Plants</w:t>
            </w:r>
          </w:p>
        </w:tc>
        <w:tc>
          <w:tcPr>
            <w:tcW w:w="2045" w:type="dxa"/>
          </w:tcPr>
          <w:p w14:paraId="3756D58A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Rocks</w:t>
            </w:r>
          </w:p>
        </w:tc>
        <w:tc>
          <w:tcPr>
            <w:tcW w:w="2001" w:type="dxa"/>
          </w:tcPr>
          <w:p w14:paraId="194AE407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Scientific enquiry</w:t>
            </w:r>
          </w:p>
        </w:tc>
        <w:tc>
          <w:tcPr>
            <w:tcW w:w="1971" w:type="dxa"/>
          </w:tcPr>
          <w:p w14:paraId="0173EA62" w14:textId="77777777" w:rsid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Animals, including humans</w:t>
            </w:r>
          </w:p>
          <w:p w14:paraId="691AB2AA" w14:textId="5FD820EC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15" w:type="dxa"/>
          </w:tcPr>
          <w:p w14:paraId="40450098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Forces and magnets</w:t>
            </w:r>
          </w:p>
        </w:tc>
        <w:tc>
          <w:tcPr>
            <w:tcW w:w="2036" w:type="dxa"/>
          </w:tcPr>
          <w:p w14:paraId="3234A315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Light</w:t>
            </w:r>
          </w:p>
        </w:tc>
      </w:tr>
      <w:tr w:rsidR="0094724E" w14:paraId="478851B5" w14:textId="77777777" w:rsidTr="0094724E">
        <w:tc>
          <w:tcPr>
            <w:tcW w:w="1884" w:type="dxa"/>
          </w:tcPr>
          <w:p w14:paraId="32AD3FB3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  <w:r w:rsidRPr="0094724E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996" w:type="dxa"/>
          </w:tcPr>
          <w:p w14:paraId="3B718E5E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Sound</w:t>
            </w:r>
          </w:p>
        </w:tc>
        <w:tc>
          <w:tcPr>
            <w:tcW w:w="2045" w:type="dxa"/>
          </w:tcPr>
          <w:p w14:paraId="0E6F8BE9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Living things and their habitats – conservation</w:t>
            </w:r>
          </w:p>
        </w:tc>
        <w:tc>
          <w:tcPr>
            <w:tcW w:w="2001" w:type="dxa"/>
          </w:tcPr>
          <w:p w14:paraId="6857225D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Animals, including humans</w:t>
            </w:r>
          </w:p>
        </w:tc>
        <w:tc>
          <w:tcPr>
            <w:tcW w:w="1971" w:type="dxa"/>
          </w:tcPr>
          <w:p w14:paraId="54A728D9" w14:textId="77777777" w:rsid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Living things and their habitats</w:t>
            </w:r>
          </w:p>
          <w:p w14:paraId="71CE36E1" w14:textId="56F3739D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15" w:type="dxa"/>
          </w:tcPr>
          <w:p w14:paraId="0F1C4190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States of matter</w:t>
            </w:r>
          </w:p>
        </w:tc>
        <w:tc>
          <w:tcPr>
            <w:tcW w:w="2036" w:type="dxa"/>
          </w:tcPr>
          <w:p w14:paraId="4A0BF379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Electricity</w:t>
            </w:r>
          </w:p>
        </w:tc>
      </w:tr>
      <w:tr w:rsidR="0094724E" w14:paraId="403B887D" w14:textId="77777777" w:rsidTr="0094724E">
        <w:tc>
          <w:tcPr>
            <w:tcW w:w="1884" w:type="dxa"/>
          </w:tcPr>
          <w:p w14:paraId="53B3640B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  <w:r w:rsidRPr="0094724E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996" w:type="dxa"/>
          </w:tcPr>
          <w:p w14:paraId="2411EB4A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Properties of materials</w:t>
            </w:r>
          </w:p>
        </w:tc>
        <w:tc>
          <w:tcPr>
            <w:tcW w:w="2045" w:type="dxa"/>
          </w:tcPr>
          <w:p w14:paraId="70EE688A" w14:textId="77777777" w:rsid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Animals, including humans</w:t>
            </w:r>
          </w:p>
          <w:p w14:paraId="5E7C41EF" w14:textId="2BD6F7D5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01" w:type="dxa"/>
          </w:tcPr>
          <w:p w14:paraId="5FFA55AC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Forces</w:t>
            </w:r>
          </w:p>
        </w:tc>
        <w:tc>
          <w:tcPr>
            <w:tcW w:w="1971" w:type="dxa"/>
          </w:tcPr>
          <w:p w14:paraId="21B59E3F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Changes of materials</w:t>
            </w:r>
          </w:p>
        </w:tc>
        <w:tc>
          <w:tcPr>
            <w:tcW w:w="2015" w:type="dxa"/>
          </w:tcPr>
          <w:p w14:paraId="4F84ACE7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Earth and space</w:t>
            </w:r>
          </w:p>
        </w:tc>
        <w:tc>
          <w:tcPr>
            <w:tcW w:w="2036" w:type="dxa"/>
          </w:tcPr>
          <w:p w14:paraId="2FEA07D7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Living things and their habitats</w:t>
            </w:r>
          </w:p>
        </w:tc>
      </w:tr>
      <w:tr w:rsidR="0094724E" w14:paraId="7BA188D5" w14:textId="77777777" w:rsidTr="0094724E">
        <w:tc>
          <w:tcPr>
            <w:tcW w:w="1884" w:type="dxa"/>
          </w:tcPr>
          <w:p w14:paraId="46F004E4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</w:rPr>
            </w:pPr>
            <w:r w:rsidRPr="0094724E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996" w:type="dxa"/>
          </w:tcPr>
          <w:p w14:paraId="00F884BC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Animals, including humans</w:t>
            </w:r>
          </w:p>
        </w:tc>
        <w:tc>
          <w:tcPr>
            <w:tcW w:w="2045" w:type="dxa"/>
          </w:tcPr>
          <w:p w14:paraId="65EB23A2" w14:textId="77777777" w:rsid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Living things and their habitats</w:t>
            </w:r>
          </w:p>
          <w:p w14:paraId="5908D4F8" w14:textId="6F2E7FD6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01" w:type="dxa"/>
          </w:tcPr>
          <w:p w14:paraId="42DF2289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Electricity</w:t>
            </w:r>
          </w:p>
        </w:tc>
        <w:tc>
          <w:tcPr>
            <w:tcW w:w="1971" w:type="dxa"/>
          </w:tcPr>
          <w:p w14:paraId="053CAB0E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Light</w:t>
            </w:r>
          </w:p>
        </w:tc>
        <w:tc>
          <w:tcPr>
            <w:tcW w:w="2015" w:type="dxa"/>
          </w:tcPr>
          <w:p w14:paraId="037ADDEE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Evolution and inheritance</w:t>
            </w:r>
          </w:p>
        </w:tc>
        <w:tc>
          <w:tcPr>
            <w:tcW w:w="2036" w:type="dxa"/>
          </w:tcPr>
          <w:p w14:paraId="1BA09C86" w14:textId="77777777" w:rsidR="0094724E" w:rsidRPr="0094724E" w:rsidRDefault="0094724E" w:rsidP="0094724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94724E">
              <w:rPr>
                <w:rFonts w:ascii="Comic Sans MS" w:hAnsi="Comic Sans MS"/>
                <w:b/>
                <w:u w:val="single"/>
              </w:rPr>
              <w:t>Looking after our environment</w:t>
            </w:r>
          </w:p>
        </w:tc>
      </w:tr>
    </w:tbl>
    <w:p w14:paraId="7D5C29DE" w14:textId="36455CBB" w:rsidR="00FA7556" w:rsidRPr="0094724E" w:rsidRDefault="0094724E" w:rsidP="0094724E">
      <w:pPr>
        <w:jc w:val="center"/>
        <w:rPr>
          <w:rFonts w:ascii="Comic Sans MS" w:hAnsi="Comic Sans MS"/>
          <w:b/>
          <w:u w:val="single"/>
        </w:rPr>
      </w:pPr>
      <w:r w:rsidRPr="0094724E">
        <w:rPr>
          <w:rFonts w:ascii="Comic Sans MS" w:hAnsi="Comic Sans MS"/>
          <w:b/>
          <w:u w:val="single"/>
        </w:rPr>
        <w:t xml:space="preserve"> Science Curriculum Whole School Overview 202</w:t>
      </w:r>
      <w:r w:rsidR="00E30DCF">
        <w:rPr>
          <w:rFonts w:ascii="Comic Sans MS" w:hAnsi="Comic Sans MS"/>
          <w:b/>
          <w:u w:val="single"/>
        </w:rPr>
        <w:t>5</w:t>
      </w:r>
      <w:r w:rsidRPr="0094724E">
        <w:rPr>
          <w:rFonts w:ascii="Comic Sans MS" w:hAnsi="Comic Sans MS"/>
          <w:b/>
          <w:u w:val="single"/>
        </w:rPr>
        <w:t>-2</w:t>
      </w:r>
      <w:r w:rsidR="00E30DCF">
        <w:rPr>
          <w:rFonts w:ascii="Comic Sans MS" w:hAnsi="Comic Sans MS"/>
          <w:b/>
          <w:u w:val="single"/>
        </w:rPr>
        <w:t>6</w:t>
      </w:r>
      <w:bookmarkStart w:id="0" w:name="_GoBack"/>
      <w:bookmarkEnd w:id="0"/>
    </w:p>
    <w:sectPr w:rsidR="00FA7556" w:rsidRPr="0094724E" w:rsidSect="00FA755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37950" w14:textId="77777777" w:rsidR="0094724E" w:rsidRDefault="0094724E" w:rsidP="0094724E">
      <w:pPr>
        <w:spacing w:after="0" w:line="240" w:lineRule="auto"/>
      </w:pPr>
      <w:r>
        <w:separator/>
      </w:r>
    </w:p>
  </w:endnote>
  <w:endnote w:type="continuationSeparator" w:id="0">
    <w:p w14:paraId="209B185E" w14:textId="77777777" w:rsidR="0094724E" w:rsidRDefault="0094724E" w:rsidP="00947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F75D06" w14:textId="77777777" w:rsidR="0094724E" w:rsidRDefault="0094724E" w:rsidP="0094724E">
      <w:pPr>
        <w:spacing w:after="0" w:line="240" w:lineRule="auto"/>
      </w:pPr>
      <w:r>
        <w:separator/>
      </w:r>
    </w:p>
  </w:footnote>
  <w:footnote w:type="continuationSeparator" w:id="0">
    <w:p w14:paraId="5B4E4669" w14:textId="77777777" w:rsidR="0094724E" w:rsidRDefault="0094724E" w:rsidP="00947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9CF31" w14:textId="299D4822" w:rsidR="0094724E" w:rsidRDefault="0094724E">
    <w:pPr>
      <w:pStyle w:val="Header"/>
    </w:pPr>
    <w:r w:rsidRPr="00B832F1">
      <w:rPr>
        <w:rFonts w:ascii="Arial" w:hAnsi="Arial" w:cs="Arial"/>
        <w:b/>
        <w:noProof/>
        <w:color w:val="444444"/>
        <w:sz w:val="27"/>
        <w:szCs w:val="27"/>
      </w:rPr>
      <w:drawing>
        <wp:anchor distT="0" distB="0" distL="114300" distR="114300" simplePos="0" relativeHeight="251659264" behindDoc="0" locked="0" layoutInCell="1" allowOverlap="1" wp14:anchorId="11E5030A" wp14:editId="498038BF">
          <wp:simplePos x="0" y="0"/>
          <wp:positionH relativeFrom="rightMargin">
            <wp:align>left</wp:align>
          </wp:positionH>
          <wp:positionV relativeFrom="paragraph">
            <wp:posOffset>-225824</wp:posOffset>
          </wp:positionV>
          <wp:extent cx="603250" cy="678539"/>
          <wp:effectExtent l="0" t="0" r="6350" b="7620"/>
          <wp:wrapSquare wrapText="bothSides"/>
          <wp:docPr id="1" name="Picture 1" descr="P:\Primary Logo\PRIMARY caps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Primary Logo\PRIMARY caps Smal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7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18"/>
    <w:rsid w:val="000F387A"/>
    <w:rsid w:val="002204E5"/>
    <w:rsid w:val="00460418"/>
    <w:rsid w:val="005F4764"/>
    <w:rsid w:val="00673175"/>
    <w:rsid w:val="0094724E"/>
    <w:rsid w:val="009C0B65"/>
    <w:rsid w:val="00E30DCF"/>
    <w:rsid w:val="00FA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FDB44"/>
  <w15:chartTrackingRefBased/>
  <w15:docId w15:val="{851203C5-584A-471D-A949-444E7560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3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7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24E"/>
  </w:style>
  <w:style w:type="paragraph" w:styleId="Footer">
    <w:name w:val="footer"/>
    <w:basedOn w:val="Normal"/>
    <w:link w:val="FooterChar"/>
    <w:uiPriority w:val="99"/>
    <w:unhideWhenUsed/>
    <w:rsid w:val="00947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Evaghora</dc:creator>
  <cp:keywords/>
  <dc:description/>
  <cp:lastModifiedBy>C Toffalis</cp:lastModifiedBy>
  <cp:revision>4</cp:revision>
  <dcterms:created xsi:type="dcterms:W3CDTF">2024-10-09T08:22:00Z</dcterms:created>
  <dcterms:modified xsi:type="dcterms:W3CDTF">2025-10-09T16:57:00Z</dcterms:modified>
</cp:coreProperties>
</file>